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1B" w:rsidRDefault="00731B1B" w:rsidP="00731B1B"/>
    <w:p w:rsidR="00731B1B" w:rsidRDefault="00731B1B" w:rsidP="00731B1B"/>
    <w:p w:rsidR="00731B1B" w:rsidRDefault="00731B1B" w:rsidP="00731B1B">
      <w:pPr>
        <w:spacing w:line="300" w:lineRule="exact"/>
        <w:ind w:right="340"/>
        <w:jc w:val="center"/>
        <w:rPr>
          <w:rFonts w:cs="Arial"/>
          <w:b/>
          <w:bCs/>
          <w:spacing w:val="-10"/>
          <w:w w:val="105"/>
          <w:sz w:val="32"/>
          <w:szCs w:val="32"/>
        </w:rPr>
      </w:pPr>
      <w:r>
        <w:rPr>
          <w:rFonts w:cs="Arial"/>
          <w:b/>
          <w:bCs/>
          <w:spacing w:val="-10"/>
          <w:w w:val="105"/>
          <w:sz w:val="32"/>
          <w:szCs w:val="32"/>
        </w:rPr>
        <w:t>The Endometriosis Health Profile</w:t>
      </w:r>
    </w:p>
    <w:p w:rsidR="00731B1B" w:rsidRDefault="00731B1B" w:rsidP="00731B1B">
      <w:pPr>
        <w:spacing w:before="72" w:line="300" w:lineRule="exact"/>
        <w:ind w:right="340"/>
        <w:jc w:val="center"/>
        <w:rPr>
          <w:rFonts w:cs="Arial"/>
          <w:b/>
          <w:bCs/>
          <w:w w:val="105"/>
          <w:sz w:val="32"/>
          <w:szCs w:val="32"/>
        </w:rPr>
      </w:pPr>
      <w:r>
        <w:rPr>
          <w:rFonts w:cs="Arial"/>
          <w:b/>
          <w:bCs/>
          <w:w w:val="105"/>
          <w:sz w:val="32"/>
          <w:szCs w:val="32"/>
        </w:rPr>
        <w:t>User Manual</w:t>
      </w:r>
    </w:p>
    <w:p w:rsidR="00731B1B" w:rsidRDefault="00731B1B" w:rsidP="00731B1B">
      <w:pPr>
        <w:spacing w:before="432" w:line="300" w:lineRule="exact"/>
        <w:ind w:right="340"/>
        <w:jc w:val="center"/>
        <w:rPr>
          <w:rFonts w:cs="Arial"/>
          <w:b/>
          <w:bCs/>
          <w:spacing w:val="-14"/>
          <w:sz w:val="32"/>
          <w:szCs w:val="32"/>
        </w:rPr>
      </w:pPr>
      <w:r>
        <w:rPr>
          <w:rFonts w:cs="Arial"/>
          <w:b/>
          <w:bCs/>
          <w:spacing w:val="-14"/>
          <w:sz w:val="32"/>
          <w:szCs w:val="32"/>
        </w:rPr>
        <w:t>User manual for the EHP-30 and the EHP-5</w:t>
      </w:r>
    </w:p>
    <w:p w:rsidR="00731B1B" w:rsidRDefault="00731B1B" w:rsidP="00731B1B">
      <w:pPr>
        <w:spacing w:before="432" w:line="300" w:lineRule="exact"/>
        <w:ind w:right="340"/>
        <w:jc w:val="center"/>
        <w:rPr>
          <w:rFonts w:cs="Arial"/>
          <w:b/>
          <w:bCs/>
          <w:spacing w:val="-14"/>
          <w:sz w:val="32"/>
          <w:szCs w:val="32"/>
        </w:rPr>
      </w:pPr>
    </w:p>
    <w:p w:rsidR="00731B1B" w:rsidRDefault="00731B1B" w:rsidP="00731B1B">
      <w:pPr>
        <w:spacing w:line="300" w:lineRule="exact"/>
        <w:ind w:right="340"/>
        <w:jc w:val="center"/>
        <w:rPr>
          <w:rFonts w:cs="Garamond"/>
          <w:b/>
          <w:bCs/>
          <w:spacing w:val="-10"/>
          <w:sz w:val="32"/>
          <w:szCs w:val="32"/>
        </w:rPr>
      </w:pPr>
      <w:r>
        <w:rPr>
          <w:rFonts w:cs="Arial"/>
          <w:b/>
          <w:bCs/>
          <w:spacing w:val="-10"/>
          <w:sz w:val="32"/>
          <w:szCs w:val="32"/>
        </w:rPr>
        <w:t>Georgina Jones</w:t>
      </w:r>
      <w:r>
        <w:rPr>
          <w:rFonts w:cs="Arial"/>
          <w:b/>
          <w:bCs/>
          <w:spacing w:val="-10"/>
          <w:sz w:val="32"/>
          <w:szCs w:val="32"/>
        </w:rPr>
        <w:br/>
      </w:r>
      <w:r>
        <w:rPr>
          <w:rFonts w:cs="Arial"/>
          <w:b/>
          <w:bCs/>
          <w:spacing w:val="-8"/>
          <w:sz w:val="32"/>
          <w:szCs w:val="32"/>
        </w:rPr>
        <w:t>Crispin Jenkinson</w:t>
      </w:r>
      <w:r>
        <w:rPr>
          <w:rFonts w:cs="Arial"/>
          <w:b/>
          <w:bCs/>
          <w:spacing w:val="-8"/>
          <w:sz w:val="32"/>
          <w:szCs w:val="32"/>
        </w:rPr>
        <w:br/>
      </w:r>
      <w:r>
        <w:rPr>
          <w:rFonts w:cs="Arial"/>
          <w:b/>
          <w:bCs/>
          <w:spacing w:val="-10"/>
          <w:sz w:val="32"/>
          <w:szCs w:val="32"/>
        </w:rPr>
        <w:t>Stephen Kennedy</w:t>
      </w:r>
    </w:p>
    <w:p w:rsidR="00731B1B" w:rsidRDefault="00731B1B" w:rsidP="00731B1B">
      <w:pPr>
        <w:spacing w:before="1692" w:line="300" w:lineRule="exact"/>
        <w:ind w:right="340"/>
        <w:jc w:val="center"/>
        <w:rPr>
          <w:rFonts w:cs="Arial"/>
          <w:b/>
          <w:bCs/>
          <w:spacing w:val="-8"/>
          <w:sz w:val="32"/>
          <w:szCs w:val="32"/>
        </w:rPr>
      </w:pPr>
      <w:r>
        <w:rPr>
          <w:rFonts w:cs="Arial"/>
          <w:b/>
          <w:bCs/>
          <w:spacing w:val="-10"/>
          <w:sz w:val="32"/>
          <w:szCs w:val="32"/>
        </w:rPr>
        <w:t>© 2001 Nuffield Department of Obstetrics &amp;</w:t>
      </w:r>
      <w:r>
        <w:rPr>
          <w:rFonts w:cs="Arial"/>
          <w:b/>
          <w:bCs/>
          <w:spacing w:val="-10"/>
          <w:sz w:val="32"/>
          <w:szCs w:val="32"/>
        </w:rPr>
        <w:br/>
        <w:t>Gynaecology &amp; Health Services Research Unit</w:t>
      </w:r>
      <w:r>
        <w:rPr>
          <w:rFonts w:cs="Arial"/>
          <w:b/>
          <w:bCs/>
          <w:spacing w:val="-10"/>
          <w:sz w:val="32"/>
          <w:szCs w:val="32"/>
        </w:rPr>
        <w:br/>
      </w:r>
      <w:r>
        <w:rPr>
          <w:rFonts w:cs="Arial"/>
          <w:b/>
          <w:bCs/>
          <w:spacing w:val="-8"/>
          <w:sz w:val="32"/>
          <w:szCs w:val="32"/>
        </w:rPr>
        <w:t>University of Oxford</w:t>
      </w:r>
    </w:p>
    <w:p w:rsidR="00731B1B" w:rsidRDefault="00731B1B" w:rsidP="00731B1B">
      <w:pPr>
        <w:spacing w:line="300" w:lineRule="exact"/>
        <w:rPr>
          <w:rFonts w:cs="Arial"/>
          <w:spacing w:val="-5"/>
          <w:szCs w:val="20"/>
        </w:rPr>
      </w:pPr>
      <w:r>
        <w:br w:type="page"/>
      </w:r>
      <w:r>
        <w:rPr>
          <w:rFonts w:cs="Arial"/>
          <w:spacing w:val="-4"/>
          <w:szCs w:val="20"/>
        </w:rPr>
        <w:lastRenderedPageBreak/>
        <w:t xml:space="preserve">© 2001 Nuffield Department of Obstetrics &amp; Gynaecology and Health Services </w:t>
      </w:r>
      <w:r>
        <w:rPr>
          <w:rFonts w:cs="Arial"/>
          <w:spacing w:val="-5"/>
          <w:szCs w:val="20"/>
        </w:rPr>
        <w:t>Research Unit, University of Oxford.</w:t>
      </w:r>
    </w:p>
    <w:p w:rsidR="00731B1B" w:rsidRDefault="00731B1B" w:rsidP="00731B1B">
      <w:pPr>
        <w:spacing w:before="252" w:line="300" w:lineRule="exact"/>
        <w:ind w:right="2304"/>
        <w:rPr>
          <w:rFonts w:cs="Arial"/>
          <w:spacing w:val="-10"/>
          <w:szCs w:val="20"/>
        </w:rPr>
      </w:pPr>
      <w:r>
        <w:rPr>
          <w:rFonts w:cs="Arial"/>
          <w:spacing w:val="-10"/>
          <w:szCs w:val="20"/>
        </w:rPr>
        <w:t xml:space="preserve">Nuffield Department of Obstetrics &amp; Gynaecology </w:t>
      </w:r>
    </w:p>
    <w:p w:rsidR="00731B1B" w:rsidRDefault="00731B1B" w:rsidP="00731B1B">
      <w:pPr>
        <w:spacing w:line="300" w:lineRule="exact"/>
        <w:rPr>
          <w:rFonts w:cs="Arial"/>
          <w:spacing w:val="-10"/>
          <w:szCs w:val="20"/>
        </w:rPr>
      </w:pPr>
      <w:r>
        <w:rPr>
          <w:rFonts w:cs="Arial"/>
          <w:spacing w:val="-6"/>
          <w:szCs w:val="20"/>
        </w:rPr>
        <w:t>University of Oxford</w:t>
      </w:r>
    </w:p>
    <w:p w:rsidR="00731B1B" w:rsidRDefault="00731B1B" w:rsidP="00731B1B">
      <w:pPr>
        <w:spacing w:line="300" w:lineRule="exact"/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>Women's Centre</w:t>
      </w:r>
    </w:p>
    <w:p w:rsidR="00731B1B" w:rsidRDefault="00731B1B" w:rsidP="00731B1B">
      <w:pPr>
        <w:spacing w:line="300" w:lineRule="exact"/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>John Radcliffe Hospital</w:t>
      </w:r>
    </w:p>
    <w:p w:rsidR="00731B1B" w:rsidRDefault="00731B1B" w:rsidP="00731B1B">
      <w:pPr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>Oxford</w:t>
      </w:r>
    </w:p>
    <w:p w:rsidR="00731B1B" w:rsidRDefault="00731B1B" w:rsidP="00731B1B">
      <w:pPr>
        <w:spacing w:line="300" w:lineRule="exact"/>
        <w:rPr>
          <w:rFonts w:cs="Arial"/>
          <w:spacing w:val="-10"/>
          <w:szCs w:val="20"/>
        </w:rPr>
      </w:pPr>
      <w:r>
        <w:rPr>
          <w:rFonts w:cs="Arial"/>
          <w:spacing w:val="-10"/>
          <w:szCs w:val="20"/>
        </w:rPr>
        <w:t>OX3 9DU, U.K.</w:t>
      </w:r>
    </w:p>
    <w:p w:rsidR="00731B1B" w:rsidRDefault="00731B1B" w:rsidP="00731B1B">
      <w:pPr>
        <w:spacing w:before="180" w:line="300" w:lineRule="exact"/>
        <w:ind w:right="3744"/>
        <w:rPr>
          <w:rFonts w:cs="Arial"/>
          <w:spacing w:val="-10"/>
          <w:szCs w:val="20"/>
        </w:rPr>
      </w:pPr>
    </w:p>
    <w:p w:rsidR="00731B1B" w:rsidRDefault="00731B1B" w:rsidP="00731B1B">
      <w:pPr>
        <w:spacing w:line="300" w:lineRule="exact"/>
        <w:rPr>
          <w:rFonts w:cs="Arial"/>
          <w:spacing w:val="-10"/>
          <w:szCs w:val="20"/>
        </w:rPr>
      </w:pPr>
      <w:r>
        <w:rPr>
          <w:rFonts w:cs="Arial"/>
          <w:spacing w:val="-10"/>
          <w:szCs w:val="20"/>
        </w:rPr>
        <w:t>Health Services Research Unit</w:t>
      </w:r>
    </w:p>
    <w:p w:rsidR="00731B1B" w:rsidRDefault="00731B1B" w:rsidP="00731B1B">
      <w:pPr>
        <w:spacing w:line="300" w:lineRule="exact"/>
        <w:rPr>
          <w:rFonts w:cs="Arial"/>
          <w:spacing w:val="-6"/>
          <w:szCs w:val="20"/>
        </w:rPr>
      </w:pPr>
      <w:r>
        <w:rPr>
          <w:rFonts w:cs="Arial"/>
          <w:spacing w:val="-6"/>
          <w:szCs w:val="20"/>
        </w:rPr>
        <w:t>University of Oxford</w:t>
      </w:r>
    </w:p>
    <w:p w:rsidR="00731B1B" w:rsidRDefault="00731B1B" w:rsidP="00731B1B">
      <w:pPr>
        <w:spacing w:line="300" w:lineRule="exact"/>
        <w:rPr>
          <w:rFonts w:cs="Arial"/>
          <w:spacing w:val="-11"/>
          <w:szCs w:val="20"/>
        </w:rPr>
      </w:pPr>
      <w:r>
        <w:rPr>
          <w:rFonts w:cs="Arial"/>
          <w:spacing w:val="-11"/>
          <w:szCs w:val="20"/>
        </w:rPr>
        <w:t>Institute of Health Sciences</w:t>
      </w:r>
    </w:p>
    <w:p w:rsidR="00731B1B" w:rsidRDefault="00731B1B" w:rsidP="00731B1B">
      <w:pPr>
        <w:spacing w:line="300" w:lineRule="exact"/>
        <w:rPr>
          <w:rFonts w:cs="Arial"/>
          <w:spacing w:val="-11"/>
          <w:szCs w:val="20"/>
        </w:rPr>
      </w:pPr>
      <w:proofErr w:type="spellStart"/>
      <w:r>
        <w:rPr>
          <w:rFonts w:cs="Arial"/>
          <w:spacing w:val="-6"/>
          <w:szCs w:val="20"/>
        </w:rPr>
        <w:t>Headington</w:t>
      </w:r>
      <w:proofErr w:type="spellEnd"/>
    </w:p>
    <w:p w:rsidR="00731B1B" w:rsidRDefault="00731B1B" w:rsidP="00731B1B">
      <w:pPr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>Oxford</w:t>
      </w:r>
    </w:p>
    <w:p w:rsidR="00731B1B" w:rsidRDefault="00731B1B" w:rsidP="00731B1B">
      <w:pPr>
        <w:spacing w:line="300" w:lineRule="exact"/>
        <w:rPr>
          <w:rFonts w:cs="Arial"/>
          <w:spacing w:val="-8"/>
          <w:szCs w:val="20"/>
        </w:rPr>
      </w:pPr>
      <w:r>
        <w:rPr>
          <w:rFonts w:cs="Arial"/>
          <w:spacing w:val="-8"/>
          <w:szCs w:val="20"/>
        </w:rPr>
        <w:t>OX3 7LF, U.K.</w:t>
      </w:r>
    </w:p>
    <w:p w:rsidR="00731B1B" w:rsidRDefault="00731B1B" w:rsidP="00731B1B">
      <w:pPr>
        <w:pStyle w:val="Heading2"/>
        <w:spacing w:after="0" w:line="300" w:lineRule="atLeast"/>
        <w:rPr>
          <w:sz w:val="20"/>
          <w:szCs w:val="20"/>
        </w:rPr>
      </w:pPr>
    </w:p>
    <w:p w:rsidR="00731B1B" w:rsidRDefault="00731B1B" w:rsidP="00731B1B">
      <w:pPr>
        <w:spacing w:line="300" w:lineRule="exact"/>
      </w:pPr>
    </w:p>
    <w:p w:rsidR="00731B1B" w:rsidRDefault="00731B1B" w:rsidP="00731B1B">
      <w:pPr>
        <w:spacing w:line="300" w:lineRule="exact"/>
      </w:pPr>
    </w:p>
    <w:p w:rsidR="00731B1B" w:rsidRDefault="00731B1B" w:rsidP="00731B1B">
      <w:pPr>
        <w:spacing w:line="300" w:lineRule="exact"/>
      </w:pPr>
    </w:p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>
      <w:pPr>
        <w:spacing w:line="300" w:lineRule="exact"/>
        <w:jc w:val="center"/>
        <w:rPr>
          <w:rFonts w:cs="Bookman Old Style"/>
          <w:b/>
          <w:spacing w:val="-8"/>
          <w:sz w:val="24"/>
        </w:rPr>
      </w:pPr>
      <w:r>
        <w:rPr>
          <w:rFonts w:cs="Bookman Old Style"/>
          <w:b/>
          <w:spacing w:val="-8"/>
          <w:sz w:val="24"/>
        </w:rPr>
        <w:lastRenderedPageBreak/>
        <w:t>Acknowledgements</w:t>
      </w:r>
    </w:p>
    <w:p w:rsidR="00731B1B" w:rsidRDefault="00731B1B" w:rsidP="00731B1B">
      <w:pPr>
        <w:spacing w:before="252" w:line="480" w:lineRule="exact"/>
        <w:ind w:left="510" w:right="397"/>
        <w:jc w:val="both"/>
        <w:rPr>
          <w:rFonts w:cs="Garamond"/>
          <w:spacing w:val="-5"/>
          <w:szCs w:val="20"/>
        </w:rPr>
      </w:pPr>
      <w:r>
        <w:rPr>
          <w:rFonts w:cs="Garamond"/>
          <w:spacing w:val="-8"/>
          <w:szCs w:val="20"/>
        </w:rPr>
        <w:t xml:space="preserve">The development and validation of the EHP questionnaires were funded with an </w:t>
      </w:r>
      <w:r>
        <w:rPr>
          <w:rFonts w:cs="Garamond"/>
          <w:spacing w:val="-3"/>
          <w:szCs w:val="20"/>
        </w:rPr>
        <w:t xml:space="preserve">educational grant from Pharmacia Corporation, U.S. We would like to thank </w:t>
      </w:r>
      <w:r>
        <w:rPr>
          <w:rFonts w:cs="Garamond"/>
          <w:spacing w:val="-2"/>
          <w:szCs w:val="20"/>
        </w:rPr>
        <w:t xml:space="preserve">Angela Barnard and the National Endometriosis Society for helping with the largest part of recruitment for the study, without whose help and support we </w:t>
      </w:r>
      <w:r>
        <w:rPr>
          <w:rFonts w:cs="Garamond"/>
          <w:spacing w:val="-3"/>
          <w:szCs w:val="20"/>
        </w:rPr>
        <w:t xml:space="preserve">would not have been able to develop the questionnaire We are also extremely </w:t>
      </w:r>
      <w:r>
        <w:rPr>
          <w:rFonts w:cs="Garamond"/>
          <w:spacing w:val="-6"/>
          <w:szCs w:val="20"/>
        </w:rPr>
        <w:t xml:space="preserve">grateful to all the women with endometriosis who gave up their time to help us </w:t>
      </w:r>
      <w:r>
        <w:rPr>
          <w:rFonts w:cs="Garamond"/>
          <w:spacing w:val="-5"/>
          <w:szCs w:val="20"/>
        </w:rPr>
        <w:t>understand how quality of life can be affected by the condition.</w:t>
      </w:r>
    </w:p>
    <w:p w:rsidR="00731B1B" w:rsidRDefault="00731B1B" w:rsidP="00731B1B">
      <w:pPr>
        <w:spacing w:line="440" w:lineRule="exact"/>
        <w:ind w:left="510" w:right="397"/>
        <w:jc w:val="both"/>
        <w:rPr>
          <w:szCs w:val="20"/>
        </w:rPr>
      </w:pPr>
    </w:p>
    <w:p w:rsidR="00731B1B" w:rsidRDefault="00731B1B" w:rsidP="00731B1B">
      <w:pPr>
        <w:spacing w:line="440" w:lineRule="exact"/>
        <w:ind w:left="510" w:right="397"/>
        <w:jc w:val="both"/>
        <w:rPr>
          <w:sz w:val="24"/>
        </w:rPr>
      </w:pPr>
    </w:p>
    <w:p w:rsidR="00731B1B" w:rsidRDefault="00731B1B" w:rsidP="00731B1B">
      <w:pPr>
        <w:spacing w:line="440" w:lineRule="exact"/>
        <w:ind w:left="510" w:right="397"/>
        <w:jc w:val="both"/>
      </w:pPr>
    </w:p>
    <w:p w:rsidR="00731B1B" w:rsidRDefault="00731B1B" w:rsidP="00731B1B">
      <w:pPr>
        <w:spacing w:line="440" w:lineRule="exact"/>
        <w:ind w:left="510" w:right="397"/>
        <w:jc w:val="both"/>
      </w:pPr>
    </w:p>
    <w:p w:rsidR="00731B1B" w:rsidRDefault="00731B1B" w:rsidP="00731B1B">
      <w:pPr>
        <w:spacing w:line="440" w:lineRule="exact"/>
        <w:ind w:left="510" w:right="397"/>
        <w:jc w:val="both"/>
      </w:pPr>
    </w:p>
    <w:p w:rsidR="00731B1B" w:rsidRDefault="00731B1B" w:rsidP="00731B1B">
      <w:pPr>
        <w:spacing w:line="440" w:lineRule="exact"/>
        <w:ind w:left="510" w:right="397"/>
        <w:jc w:val="both"/>
      </w:pPr>
    </w:p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>
      <w:pPr>
        <w:spacing w:line="300" w:lineRule="exact"/>
      </w:pPr>
    </w:p>
    <w:p w:rsidR="00731B1B" w:rsidRDefault="00731B1B" w:rsidP="00731B1B">
      <w:pPr>
        <w:spacing w:line="440" w:lineRule="exact"/>
        <w:ind w:left="510" w:right="397"/>
        <w:rPr>
          <w:rFonts w:cs="Bookman Old Style"/>
          <w:b/>
          <w:spacing w:val="-4"/>
          <w:sz w:val="24"/>
        </w:rPr>
      </w:pPr>
      <w:r>
        <w:rPr>
          <w:rFonts w:cs="Bookman Old Style"/>
          <w:b/>
          <w:spacing w:val="-4"/>
          <w:sz w:val="24"/>
        </w:rPr>
        <w:t>The Authors</w:t>
      </w:r>
    </w:p>
    <w:p w:rsidR="00731B1B" w:rsidRDefault="00731B1B" w:rsidP="00731B1B">
      <w:pPr>
        <w:spacing w:before="180" w:line="480" w:lineRule="exact"/>
        <w:ind w:left="510" w:right="397"/>
        <w:rPr>
          <w:rFonts w:cs="Garamond"/>
          <w:spacing w:val="-4"/>
          <w:szCs w:val="20"/>
        </w:rPr>
      </w:pPr>
      <w:r>
        <w:rPr>
          <w:rFonts w:cs="Garamond"/>
          <w:spacing w:val="-9"/>
          <w:szCs w:val="20"/>
        </w:rPr>
        <w:t xml:space="preserve">Georgina Jones is a Non-Clinical Lecturer at the School of Health &amp; Related </w:t>
      </w:r>
      <w:r>
        <w:rPr>
          <w:rFonts w:cs="Garamond"/>
          <w:spacing w:val="-4"/>
          <w:szCs w:val="20"/>
        </w:rPr>
        <w:t>Research (</w:t>
      </w:r>
      <w:proofErr w:type="spellStart"/>
      <w:r>
        <w:rPr>
          <w:rFonts w:cs="Garamond"/>
          <w:spacing w:val="-4"/>
          <w:szCs w:val="20"/>
        </w:rPr>
        <w:t>ScHARR</w:t>
      </w:r>
      <w:proofErr w:type="spellEnd"/>
      <w:r>
        <w:rPr>
          <w:rFonts w:cs="Garamond"/>
          <w:spacing w:val="-4"/>
          <w:szCs w:val="20"/>
        </w:rPr>
        <w:t>), University of Sheffield.</w:t>
      </w:r>
    </w:p>
    <w:p w:rsidR="00731B1B" w:rsidRDefault="00731B1B" w:rsidP="00731B1B">
      <w:pPr>
        <w:spacing w:before="144" w:line="480" w:lineRule="exact"/>
        <w:ind w:left="510" w:right="397"/>
        <w:rPr>
          <w:rFonts w:cs="Garamond"/>
          <w:spacing w:val="-5"/>
          <w:szCs w:val="20"/>
        </w:rPr>
      </w:pPr>
      <w:r>
        <w:rPr>
          <w:rFonts w:cs="Garamond"/>
          <w:spacing w:val="-7"/>
          <w:szCs w:val="20"/>
        </w:rPr>
        <w:t xml:space="preserve">Crispin Jenkinson is Professor of Health Services Research in the Department of </w:t>
      </w:r>
      <w:r>
        <w:rPr>
          <w:rFonts w:cs="Garamond"/>
          <w:spacing w:val="-5"/>
          <w:szCs w:val="20"/>
        </w:rPr>
        <w:t>Public Health, and Fellow of Harris Manchester College, University of Oxford.</w:t>
      </w:r>
    </w:p>
    <w:p w:rsidR="00731B1B" w:rsidRDefault="00731B1B" w:rsidP="00731B1B">
      <w:pPr>
        <w:spacing w:before="144" w:line="480" w:lineRule="exact"/>
        <w:ind w:left="510" w:right="397"/>
        <w:rPr>
          <w:rFonts w:cs="Garamond"/>
          <w:spacing w:val="-5"/>
          <w:szCs w:val="20"/>
        </w:rPr>
      </w:pPr>
      <w:r>
        <w:rPr>
          <w:rFonts w:cs="Garamond"/>
          <w:spacing w:val="-10"/>
          <w:szCs w:val="20"/>
        </w:rPr>
        <w:t xml:space="preserve">Stephen Kennedy is Clinical Reader at the Nuffield Department of Obstetrics &amp; </w:t>
      </w:r>
      <w:r>
        <w:rPr>
          <w:rFonts w:cs="Garamond"/>
          <w:spacing w:val="-5"/>
          <w:szCs w:val="20"/>
        </w:rPr>
        <w:t>Gynaecology, and Fellow of Green College, University of Oxford.</w:t>
      </w:r>
    </w:p>
    <w:p w:rsidR="00731B1B" w:rsidRDefault="00731B1B" w:rsidP="00731B1B">
      <w:pPr>
        <w:pStyle w:val="Heading3"/>
        <w:spacing w:line="480" w:lineRule="atLeast"/>
        <w:ind w:left="510" w:right="397"/>
        <w:rPr>
          <w:sz w:val="20"/>
          <w:szCs w:val="20"/>
        </w:rPr>
      </w:pPr>
    </w:p>
    <w:p w:rsidR="00731B1B" w:rsidRDefault="00731B1B" w:rsidP="00731B1B">
      <w:pPr>
        <w:pStyle w:val="Heading3"/>
        <w:spacing w:line="440" w:lineRule="atLeast"/>
        <w:ind w:left="510" w:right="397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>
      <w:pPr>
        <w:pStyle w:val="Heading3"/>
      </w:pPr>
    </w:p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/>
    <w:p w:rsidR="00731B1B" w:rsidRDefault="00731B1B" w:rsidP="00731B1B">
      <w:pPr>
        <w:tabs>
          <w:tab w:val="right" w:pos="1964"/>
        </w:tabs>
        <w:spacing w:before="252" w:line="480" w:lineRule="exact"/>
        <w:ind w:left="510" w:right="397"/>
        <w:jc w:val="both"/>
        <w:rPr>
          <w:rFonts w:cs="Garamond"/>
          <w:b/>
          <w:sz w:val="24"/>
        </w:rPr>
      </w:pPr>
      <w:r>
        <w:rPr>
          <w:rFonts w:cs="Garamond"/>
          <w:b/>
          <w:sz w:val="24"/>
        </w:rPr>
        <w:t>Contents</w:t>
      </w:r>
    </w:p>
    <w:p w:rsidR="00731B1B" w:rsidRDefault="00731B1B" w:rsidP="00731B1B">
      <w:pPr>
        <w:tabs>
          <w:tab w:val="right" w:pos="1964"/>
        </w:tabs>
        <w:spacing w:line="480" w:lineRule="exact"/>
        <w:ind w:left="510" w:right="397"/>
        <w:jc w:val="both"/>
        <w:rPr>
          <w:rFonts w:cs="Garamond"/>
          <w:spacing w:val="-8"/>
          <w:szCs w:val="20"/>
        </w:rPr>
      </w:pPr>
      <w:r>
        <w:rPr>
          <w:rFonts w:cs="Garamond"/>
          <w:spacing w:val="-6"/>
          <w:szCs w:val="20"/>
        </w:rPr>
        <w:t>Chapter I:</w:t>
      </w:r>
      <w:r>
        <w:rPr>
          <w:rFonts w:cs="Garamond"/>
          <w:spacing w:val="-6"/>
          <w:szCs w:val="20"/>
        </w:rPr>
        <w:tab/>
        <w:t xml:space="preserve">       </w:t>
      </w:r>
      <w:r>
        <w:rPr>
          <w:rFonts w:cs="Garamond"/>
          <w:spacing w:val="-8"/>
          <w:szCs w:val="20"/>
        </w:rPr>
        <w:t>Introduction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6"/>
          <w:szCs w:val="20"/>
        </w:rPr>
      </w:pPr>
      <w:r>
        <w:rPr>
          <w:rFonts w:cs="Garamond"/>
          <w:spacing w:val="-6"/>
          <w:szCs w:val="20"/>
        </w:rPr>
        <w:t xml:space="preserve">            </w:t>
      </w:r>
      <w:r>
        <w:rPr>
          <w:rFonts w:cs="Garamond"/>
          <w:spacing w:val="-6"/>
          <w:szCs w:val="20"/>
        </w:rPr>
        <w:tab/>
        <w:t xml:space="preserve">       Georgina Jones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6"/>
          <w:szCs w:val="20"/>
        </w:rPr>
      </w:pPr>
    </w:p>
    <w:p w:rsidR="00731B1B" w:rsidRDefault="00731B1B" w:rsidP="00731B1B">
      <w:pPr>
        <w:tabs>
          <w:tab w:val="right" w:pos="4896"/>
        </w:tabs>
        <w:spacing w:line="480" w:lineRule="exact"/>
        <w:ind w:left="510" w:right="397"/>
        <w:jc w:val="both"/>
        <w:rPr>
          <w:rFonts w:cs="Garamond"/>
          <w:spacing w:val="-6"/>
          <w:szCs w:val="20"/>
        </w:rPr>
      </w:pPr>
      <w:r>
        <w:rPr>
          <w:rFonts w:cs="Garamond"/>
          <w:spacing w:val="-12"/>
          <w:szCs w:val="20"/>
        </w:rPr>
        <w:t xml:space="preserve">  Chapter II:</w:t>
      </w:r>
      <w:r>
        <w:rPr>
          <w:rFonts w:cs="Garamond"/>
          <w:spacing w:val="-12"/>
          <w:szCs w:val="20"/>
        </w:rPr>
        <w:tab/>
        <w:t xml:space="preserve">       </w:t>
      </w:r>
      <w:r>
        <w:rPr>
          <w:rFonts w:cs="Garamond"/>
          <w:spacing w:val="-6"/>
          <w:szCs w:val="20"/>
        </w:rPr>
        <w:t>Endometriosis: Epidemiology, symptoms and treatment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5"/>
          <w:szCs w:val="20"/>
        </w:rPr>
      </w:pPr>
      <w:r>
        <w:rPr>
          <w:rFonts w:cs="Garamond"/>
          <w:spacing w:val="-5"/>
          <w:szCs w:val="20"/>
        </w:rPr>
        <w:t xml:space="preserve">      </w:t>
      </w:r>
      <w:r>
        <w:rPr>
          <w:rFonts w:cs="Garamond"/>
          <w:spacing w:val="-5"/>
          <w:szCs w:val="20"/>
        </w:rPr>
        <w:tab/>
        <w:t xml:space="preserve">        Georgina Jones, Crispin Jenkinson and Stephen Kennedy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5"/>
          <w:szCs w:val="20"/>
        </w:rPr>
      </w:pP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3"/>
          <w:szCs w:val="20"/>
        </w:rPr>
      </w:pPr>
      <w:r>
        <w:rPr>
          <w:rFonts w:cs="Garamond"/>
          <w:spacing w:val="-3"/>
          <w:szCs w:val="20"/>
        </w:rPr>
        <w:t>Chapter III:   Development of the EHP-30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7"/>
          <w:szCs w:val="20"/>
        </w:rPr>
      </w:pPr>
      <w:r>
        <w:rPr>
          <w:rFonts w:cs="Garamond"/>
          <w:spacing w:val="-7"/>
          <w:szCs w:val="20"/>
        </w:rPr>
        <w:t xml:space="preserve">      </w:t>
      </w:r>
      <w:r>
        <w:rPr>
          <w:rFonts w:cs="Garamond"/>
          <w:spacing w:val="-7"/>
          <w:szCs w:val="20"/>
        </w:rPr>
        <w:tab/>
        <w:t xml:space="preserve">       Georgina Jones, Stephen Kennedy, Angela Barnard, Josephine Wong, 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4"/>
          <w:szCs w:val="20"/>
        </w:rPr>
      </w:pPr>
      <w:r>
        <w:rPr>
          <w:rFonts w:cs="Garamond"/>
          <w:spacing w:val="-7"/>
          <w:szCs w:val="20"/>
        </w:rPr>
        <w:t xml:space="preserve">      </w:t>
      </w:r>
      <w:r>
        <w:rPr>
          <w:rFonts w:cs="Garamond"/>
          <w:spacing w:val="-7"/>
          <w:szCs w:val="20"/>
        </w:rPr>
        <w:tab/>
        <w:t xml:space="preserve">      </w:t>
      </w:r>
      <w:r>
        <w:rPr>
          <w:rFonts w:cs="Garamond"/>
          <w:spacing w:val="-4"/>
          <w:szCs w:val="20"/>
        </w:rPr>
        <w:t>Crispin Jenkinson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4"/>
          <w:szCs w:val="20"/>
        </w:rPr>
      </w:pP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2"/>
          <w:szCs w:val="20"/>
        </w:rPr>
      </w:pPr>
      <w:r>
        <w:rPr>
          <w:rFonts w:cs="Garamond"/>
          <w:spacing w:val="-2"/>
          <w:szCs w:val="20"/>
        </w:rPr>
        <w:t>Chapter IV:    Responsiveness of the EHP-30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5"/>
          <w:szCs w:val="20"/>
        </w:rPr>
      </w:pPr>
      <w:r>
        <w:rPr>
          <w:rFonts w:cs="Garamond"/>
          <w:spacing w:val="-5"/>
          <w:szCs w:val="20"/>
        </w:rPr>
        <w:t xml:space="preserve">      Georgina Jones, Crispin Jenkinson, Stephen Kennedy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5"/>
          <w:szCs w:val="20"/>
        </w:rPr>
      </w:pP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2"/>
          <w:szCs w:val="20"/>
        </w:rPr>
      </w:pPr>
      <w:r>
        <w:rPr>
          <w:rFonts w:cs="Garamond"/>
          <w:spacing w:val="2"/>
          <w:szCs w:val="20"/>
        </w:rPr>
        <w:t>Chapter V:    The EHP-5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5"/>
          <w:szCs w:val="20"/>
        </w:rPr>
      </w:pPr>
      <w:r>
        <w:rPr>
          <w:rFonts w:cs="Garamond"/>
          <w:spacing w:val="-5"/>
          <w:szCs w:val="20"/>
        </w:rPr>
        <w:t xml:space="preserve">      Georgina Jones, Crispin Jenkinson, Stephen Kennedy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5"/>
          <w:szCs w:val="20"/>
        </w:rPr>
      </w:pP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zCs w:val="20"/>
        </w:rPr>
      </w:pPr>
      <w:r>
        <w:rPr>
          <w:rFonts w:cs="Garamond"/>
          <w:szCs w:val="20"/>
        </w:rPr>
        <w:t>Chapter VI:    Concluding remarks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6"/>
          <w:szCs w:val="20"/>
        </w:rPr>
      </w:pPr>
      <w:r>
        <w:rPr>
          <w:rFonts w:cs="Garamond"/>
          <w:spacing w:val="-6"/>
          <w:szCs w:val="20"/>
        </w:rPr>
        <w:t xml:space="preserve">       Georgina Jones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6"/>
          <w:szCs w:val="20"/>
        </w:rPr>
      </w:pP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8"/>
          <w:szCs w:val="20"/>
        </w:rPr>
      </w:pPr>
      <w:r>
        <w:rPr>
          <w:rFonts w:cs="Garamond"/>
          <w:spacing w:val="-8"/>
          <w:szCs w:val="20"/>
        </w:rPr>
        <w:t>Copy of the EHP-30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8"/>
          <w:szCs w:val="20"/>
        </w:rPr>
      </w:pPr>
      <w:r>
        <w:rPr>
          <w:rFonts w:cs="Garamond"/>
          <w:spacing w:val="-8"/>
          <w:szCs w:val="20"/>
        </w:rPr>
        <w:t>Copy of the EHP-5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6"/>
          <w:szCs w:val="20"/>
        </w:rPr>
      </w:pPr>
      <w:r>
        <w:rPr>
          <w:rFonts w:cs="Garamond"/>
          <w:spacing w:val="-6"/>
          <w:szCs w:val="20"/>
        </w:rPr>
        <w:t>Examples of the Endometriosis Health Profile Questionnaires</w:t>
      </w:r>
    </w:p>
    <w:p w:rsidR="00731B1B" w:rsidRDefault="00731B1B" w:rsidP="00731B1B">
      <w:pPr>
        <w:spacing w:line="480" w:lineRule="exact"/>
        <w:ind w:left="510" w:right="397"/>
        <w:jc w:val="both"/>
        <w:rPr>
          <w:rFonts w:cs="Garamond"/>
          <w:spacing w:val="-8"/>
          <w:szCs w:val="20"/>
        </w:rPr>
      </w:pPr>
      <w:r>
        <w:rPr>
          <w:rFonts w:cs="Garamond"/>
          <w:spacing w:val="-9"/>
          <w:szCs w:val="20"/>
        </w:rPr>
        <w:t xml:space="preserve">Scoring Algorithms, Dimensions and Items for the EHP Questionnaires </w:t>
      </w:r>
      <w:r>
        <w:rPr>
          <w:rFonts w:cs="Garamond"/>
          <w:spacing w:val="-8"/>
          <w:szCs w:val="20"/>
        </w:rPr>
        <w:t>EHP Publications</w:t>
      </w:r>
    </w:p>
    <w:p w:rsidR="00731B1B" w:rsidRDefault="00731B1B" w:rsidP="00731B1B">
      <w:pPr>
        <w:tabs>
          <w:tab w:val="left" w:pos="1635"/>
        </w:tabs>
        <w:spacing w:line="480" w:lineRule="exact"/>
        <w:ind w:left="510" w:right="397"/>
        <w:jc w:val="both"/>
        <w:rPr>
          <w:rFonts w:cs="Garamond"/>
          <w:spacing w:val="-4"/>
          <w:szCs w:val="20"/>
        </w:rPr>
      </w:pPr>
      <w:r>
        <w:rPr>
          <w:rFonts w:cs="Garamond"/>
          <w:spacing w:val="-4"/>
          <w:szCs w:val="20"/>
        </w:rPr>
        <w:t>References</w:t>
      </w:r>
      <w:r>
        <w:rPr>
          <w:rFonts w:cs="Garamond"/>
          <w:spacing w:val="-4"/>
          <w:szCs w:val="20"/>
        </w:rPr>
        <w:tab/>
      </w:r>
    </w:p>
    <w:p w:rsidR="00731B1B" w:rsidRDefault="00731B1B" w:rsidP="00731B1B">
      <w:pPr>
        <w:spacing w:line="300" w:lineRule="exact"/>
        <w:jc w:val="center"/>
        <w:rPr>
          <w:rFonts w:ascii="Bookman Old Style" w:hAnsi="Bookman Old Style" w:cs="Bookman Old Style"/>
          <w:sz w:val="19"/>
          <w:szCs w:val="19"/>
        </w:rPr>
      </w:pPr>
    </w:p>
    <w:p w:rsidR="00731B1B" w:rsidRDefault="00731B1B" w:rsidP="00731B1B">
      <w:pPr>
        <w:spacing w:line="300" w:lineRule="exact"/>
        <w:jc w:val="center"/>
        <w:rPr>
          <w:rFonts w:cs="Bookman Old Style"/>
          <w:sz w:val="18"/>
          <w:szCs w:val="18"/>
        </w:rPr>
      </w:pPr>
    </w:p>
    <w:p w:rsidR="00731B1B" w:rsidRDefault="00731B1B" w:rsidP="00731B1B">
      <w:pPr>
        <w:spacing w:line="300" w:lineRule="exact"/>
        <w:jc w:val="center"/>
        <w:rPr>
          <w:rFonts w:cs="Bookman Old Style"/>
          <w:sz w:val="18"/>
          <w:szCs w:val="18"/>
        </w:rPr>
      </w:pPr>
    </w:p>
    <w:p w:rsidR="00BC427A" w:rsidRDefault="00BC427A">
      <w:bookmarkStart w:id="0" w:name="_GoBack"/>
      <w:bookmarkEnd w:id="0"/>
    </w:p>
    <w:sectPr w:rsidR="00BC4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1B"/>
    <w:rsid w:val="00731B1B"/>
    <w:rsid w:val="00B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9B140-490D-4F0B-957E-4D9B483B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1B"/>
    <w:pPr>
      <w:spacing w:after="0" w:line="340" w:lineRule="exact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B1B"/>
    <w:pPr>
      <w:keepNext/>
      <w:spacing w:after="80" w:line="240" w:lineRule="auto"/>
      <w:outlineLvl w:val="1"/>
    </w:pPr>
    <w:rPr>
      <w:b/>
      <w:bCs/>
      <w:smallCaps/>
      <w:color w:val="333399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1B1B"/>
    <w:pPr>
      <w:keepNext/>
      <w:spacing w:before="120" w:after="120" w:line="240" w:lineRule="auto"/>
      <w:outlineLvl w:val="2"/>
    </w:pPr>
    <w:rPr>
      <w:rFonts w:cs="Arial"/>
      <w:b/>
      <w:bCs/>
      <w:color w:val="33339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1B1B"/>
    <w:rPr>
      <w:rFonts w:ascii="Verdana" w:eastAsia="Times New Roman" w:hAnsi="Verdana" w:cs="Times New Roman"/>
      <w:b/>
      <w:bCs/>
      <w:smallCaps/>
      <w:color w:val="333399"/>
      <w:sz w:val="36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731B1B"/>
    <w:rPr>
      <w:rFonts w:ascii="Verdana" w:eastAsia="Times New Roman" w:hAnsi="Verdana" w:cs="Arial"/>
      <w:b/>
      <w:bCs/>
      <w:color w:val="333399"/>
      <w:sz w:val="24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Innovation Ltd.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Wood</dc:creator>
  <cp:keywords/>
  <dc:description/>
  <cp:lastModifiedBy>Alexandra Wood</cp:lastModifiedBy>
  <cp:revision>1</cp:revision>
  <dcterms:created xsi:type="dcterms:W3CDTF">2018-01-17T15:11:00Z</dcterms:created>
  <dcterms:modified xsi:type="dcterms:W3CDTF">2018-01-17T15:12:00Z</dcterms:modified>
</cp:coreProperties>
</file>